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C3" w:rsidRPr="004564EC" w:rsidRDefault="001021C3" w:rsidP="001021C3">
      <w:pPr>
        <w:rPr>
          <w:b/>
        </w:rPr>
      </w:pPr>
      <w:r w:rsidRPr="004564EC">
        <w:rPr>
          <w:b/>
        </w:rPr>
        <w:t>Tài liệu tham khảo</w:t>
      </w:r>
    </w:p>
    <w:p w:rsidR="001021C3" w:rsidRDefault="001021C3" w:rsidP="001021C3">
      <w:r>
        <w:t>1. Phạm Văn Báu (2002), “Phạm tội đối với trẻ em - Những vấn đề lý luận và thực tiễn”, Tạp chí Luật học, số 3, tr.3-8.</w:t>
      </w:r>
    </w:p>
    <w:p w:rsidR="001021C3" w:rsidRDefault="001021C3" w:rsidP="001021C3">
      <w:r>
        <w:t xml:space="preserve">2. Bộ Tư pháp (1976), Thông tư số 03/SL-BTP-TT ngày 15/4/1976 của Bộ Tư pháp hướng dẫn thi hành Sắc luật số 03 nói trên quy định các tội phạm và hình phạt trong đó có tội giết người với nội dung: “Phạm tội cố ý giết người thì bị phạt tù từ mười lăm năm đến tù chung thân hoặc bị xử tử hình. Trường hợp có tình tiết giảm nhẹ thì mức hình phạt có thể thấp hơn”. </w:t>
      </w:r>
    </w:p>
    <w:p w:rsidR="001021C3" w:rsidRDefault="001021C3" w:rsidP="001021C3">
      <w:r>
        <w:t>3. Lê Cảm (2000), Các nghiên cứu chuyên khảo về Phần chung Luật hình sự, tập 1, Nxb. Công an nhân dân, Hà Nội, tr. 7-8.</w:t>
      </w:r>
    </w:p>
    <w:p w:rsidR="001021C3" w:rsidRDefault="001021C3" w:rsidP="001021C3">
      <w:r>
        <w:t>4. Nguyễn Ngọc Hòa (1994), “Lỗi và việc xác định lỗi ở các tội cố ý xâm phạm tính mạng, sức khỏe”, Tạp chí Luật học, số 1, tr.5-9.</w:t>
      </w:r>
    </w:p>
    <w:p w:rsidR="001021C3" w:rsidRDefault="001021C3" w:rsidP="001021C3">
      <w:r>
        <w:t>5. Nguyễn Ngọc Hòa chủ biên (1997), Luật hình sự Việt Nam - Những vấn đề lý luận và thực tiễn, Nxb. Công an nhân dân, Hà Nội, tr.107-116.</w:t>
      </w:r>
    </w:p>
    <w:p w:rsidR="001021C3" w:rsidRDefault="001021C3" w:rsidP="001021C3">
      <w:r>
        <w:t>6. Nguyễn Ngọc Hòa chủ biên (2005), Giáo trình Luật hình sự Việt Nam, Tập I, Nxb. Công an nhân dân, Hà Nội, tr.379-383.</w:t>
      </w:r>
    </w:p>
    <w:p w:rsidR="001021C3" w:rsidRDefault="001021C3" w:rsidP="001021C3">
      <w:r>
        <w:t>7. Hội đồng Thẩm phán Tòa án nhân dân tối cao (1986), Nghị quyết số 04/HĐTP ngày 29/11/1986 của Hội đồng Thẩm phán Tòa án nhân dân tối cao hướng dẫn một số quy định trong Phần các tội phạm của BLHS năm 1999.</w:t>
      </w:r>
    </w:p>
    <w:p w:rsidR="001021C3" w:rsidRDefault="001021C3" w:rsidP="001021C3">
      <w:r>
        <w:t>8. Đặng Quang Phương (1990), Trách nhiệm về tội giết người theo Luật hình sự nước Cộng hòa xã hội chủ nghĩa Việt Nam, Luận án Tiến sĩ Luật học, Taskent.</w:t>
      </w:r>
    </w:p>
    <w:p w:rsidR="001021C3" w:rsidRDefault="001021C3" w:rsidP="001021C3">
      <w:r>
        <w:t>9. Đinh Văn Quế (1997), ”Người bị hại trong vụ án hình sự”, Tạp chí Toà án nhân dân, số 12 năm 1997, Hà Nội, tr.15-18.</w:t>
      </w:r>
    </w:p>
    <w:p w:rsidR="001021C3" w:rsidRDefault="001021C3" w:rsidP="001021C3">
      <w:r>
        <w:t>10. Đinh Văn Quế (1999), “Xác định tuổi của người bị hại trong vụ án hình sự như thế nào”, Tạp chí Dân chủ và Pháp luật, số 7 năm 1999, Hà Nội, tr.21-24.</w:t>
      </w:r>
    </w:p>
    <w:p w:rsidR="001021C3" w:rsidRDefault="001021C3" w:rsidP="001021C3">
      <w:r>
        <w:t>11. Tạp chí Kiểm sát (1998), số 8, số 9 và số 11 năm 1998.</w:t>
      </w:r>
    </w:p>
    <w:p w:rsidR="001021C3" w:rsidRDefault="001021C3" w:rsidP="001021C3">
      <w:r>
        <w:t xml:space="preserve">12. Tòa án nhân dân tối cao (1960), Chỉ thị số 1025/TATC ngày 15/6/1960 của Tòa án nhân dân tối cao về đường lối xử lý tội giết người vì mê tín. </w:t>
      </w:r>
    </w:p>
    <w:p w:rsidR="001021C3" w:rsidRDefault="001021C3" w:rsidP="001021C3">
      <w:r>
        <w:t xml:space="preserve">13. Tòa án nhân dân tối cao (1970), Bản chuyên đề tổng kết thực tiễn xét xử loại tội giết người ban hành kèm theo Công văn số 452/HS2 ngày 10/8/1970 của Tòa án nhân dân tối cao về thực tiễn xét xử tội phạm giết người. </w:t>
      </w:r>
    </w:p>
    <w:p w:rsidR="001021C3" w:rsidRDefault="001021C3" w:rsidP="001021C3">
      <w:r>
        <w:t>14. Toà án nhân dân tối cao (1988), Nghị quyết số 02/HĐTP ngày 16/11/1988 của Hội đồng Thẩm phán Toà án nhân dân tối cao hướng dẫn bổ sung Nghị quyết 02/HĐTP ngày 05-01-1986 của Hội đồng Thẩm phán Toà án nhân dân tối cao (về vấn đề phạm tội có tổ chức).</w:t>
      </w:r>
    </w:p>
    <w:p w:rsidR="001021C3" w:rsidRDefault="001021C3" w:rsidP="001021C3">
      <w:r>
        <w:t>15. Tòa án nhân dân tối cao (2002), Công văn số 81/2002/TANDTC ngày 10/6/2002 của Tòa án nhân dân tối cao về cách tính tuổi chịu trách nhiệm hình sự của người phạm tội.</w:t>
      </w:r>
    </w:p>
    <w:p w:rsidR="001021C3" w:rsidRDefault="001021C3" w:rsidP="001021C3">
      <w:r>
        <w:t xml:space="preserve">16. Tòa án nhân dân tỉnh Bến Tre (2001), Bản án hình sự sơ thẩm số 52 ngày 05/6/2001. </w:t>
      </w:r>
    </w:p>
    <w:p w:rsidR="001021C3" w:rsidRDefault="001021C3" w:rsidP="001021C3">
      <w:r>
        <w:t>17. Tòa án nhân dân tỉnh Hà Nam (2000), Bản án hình sự sơ thẩm số 09 ngày 31-3-2000.</w:t>
      </w:r>
    </w:p>
    <w:p w:rsidR="001021C3" w:rsidRDefault="001021C3" w:rsidP="001021C3">
      <w:r>
        <w:t>18. Tòa án nhân dân tỉnh Lào Cai (2000), Bản án hình sự sơ thẩm số 138 ngày 15/11/2000.</w:t>
      </w:r>
    </w:p>
    <w:p w:rsidR="00CE2709" w:rsidRDefault="001021C3" w:rsidP="001021C3">
      <w:r>
        <w:lastRenderedPageBreak/>
        <w:t xml:space="preserve">19. Trần Hữu Ứng (1993), “Thời điểm bắt đầu và kết thúc sự sống của con người nhìn từ góc độ luật học”, Tạp chí Tòa án nhân </w:t>
      </w:r>
      <w:bookmarkStart w:id="0" w:name="_GoBack"/>
      <w:bookmarkEnd w:id="0"/>
      <w:r>
        <w:t>dân, số 10, tr.11.</w:t>
      </w:r>
    </w:p>
    <w:sectPr w:rsidR="00CE2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8"/>
    <w:rsid w:val="001021C3"/>
    <w:rsid w:val="004564EC"/>
    <w:rsid w:val="00726CD8"/>
    <w:rsid w:val="00CE27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C90B-9CE8-4B3F-AC63-5DBCBEE5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Hewlett-Packard Company</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THKS07</dc:creator>
  <cp:keywords/>
  <dc:description/>
  <cp:lastModifiedBy>THKS07</cp:lastModifiedBy>
  <cp:revision>3</cp:revision>
  <dcterms:created xsi:type="dcterms:W3CDTF">2018-08-16T03:38:00Z</dcterms:created>
  <dcterms:modified xsi:type="dcterms:W3CDTF">2018-08-16T03:38:00Z</dcterms:modified>
</cp:coreProperties>
</file>