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DA2D7E" w:rsidRPr="00DA2D7E" w:rsidTr="00DA2D7E">
        <w:tc>
          <w:tcPr>
            <w:tcW w:w="3348" w:type="dxa"/>
            <w:shd w:val="clear" w:color="auto" w:fill="FFFFFF"/>
            <w:tcMar>
              <w:top w:w="0" w:type="dxa"/>
              <w:left w:w="108" w:type="dxa"/>
              <w:bottom w:w="0" w:type="dxa"/>
              <w:right w:w="108" w:type="dxa"/>
            </w:tcMar>
            <w:hideMark/>
          </w:tcPr>
          <w:p w:rsidR="00DA2D7E" w:rsidRPr="00DA2D7E" w:rsidRDefault="00DA2D7E" w:rsidP="00DA2D7E">
            <w:pPr>
              <w:spacing w:before="120" w:after="100" w:line="240" w:lineRule="auto"/>
              <w:jc w:val="center"/>
              <w:rPr>
                <w:rFonts w:ascii="Times New Roman" w:eastAsia="Times New Roman" w:hAnsi="Times New Roman" w:cs="Times New Roman"/>
                <w:color w:val="333333"/>
                <w:sz w:val="28"/>
                <w:szCs w:val="28"/>
              </w:rPr>
            </w:pPr>
            <w:r w:rsidRPr="00DA2D7E">
              <w:rPr>
                <w:rFonts w:ascii="Times New Roman" w:eastAsia="Times New Roman" w:hAnsi="Times New Roman" w:cs="Times New Roman"/>
                <w:b/>
                <w:bCs/>
                <w:color w:val="333333"/>
                <w:sz w:val="28"/>
                <w:szCs w:val="28"/>
                <w:lang w:val="vi-VN"/>
              </w:rPr>
              <w:t>TÒA ÁN NHÂN DÂN TỐI CAO</w:t>
            </w:r>
            <w:r w:rsidRPr="00DA2D7E">
              <w:rPr>
                <w:rFonts w:ascii="Times New Roman" w:eastAsia="Times New Roman" w:hAnsi="Times New Roman" w:cs="Times New Roman"/>
                <w:b/>
                <w:bCs/>
                <w:color w:val="333333"/>
                <w:sz w:val="28"/>
                <w:szCs w:val="28"/>
                <w:lang w:val="vi-VN"/>
              </w:rPr>
              <w:br/>
              <w:t>-------</w:t>
            </w:r>
          </w:p>
        </w:tc>
        <w:tc>
          <w:tcPr>
            <w:tcW w:w="5508" w:type="dxa"/>
            <w:shd w:val="clear" w:color="auto" w:fill="FFFFFF"/>
            <w:tcMar>
              <w:top w:w="0" w:type="dxa"/>
              <w:left w:w="108" w:type="dxa"/>
              <w:bottom w:w="0" w:type="dxa"/>
              <w:right w:w="108" w:type="dxa"/>
            </w:tcMar>
            <w:hideMark/>
          </w:tcPr>
          <w:p w:rsidR="00DA2D7E" w:rsidRPr="00DA2D7E" w:rsidRDefault="00DA2D7E" w:rsidP="00DA2D7E">
            <w:pPr>
              <w:spacing w:before="120" w:after="100" w:line="240" w:lineRule="auto"/>
              <w:jc w:val="center"/>
              <w:rPr>
                <w:rFonts w:ascii="Times New Roman" w:eastAsia="Times New Roman" w:hAnsi="Times New Roman" w:cs="Times New Roman"/>
                <w:color w:val="333333"/>
                <w:sz w:val="28"/>
                <w:szCs w:val="28"/>
              </w:rPr>
            </w:pPr>
            <w:r w:rsidRPr="00DA2D7E">
              <w:rPr>
                <w:rFonts w:ascii="Times New Roman" w:eastAsia="Times New Roman" w:hAnsi="Times New Roman" w:cs="Times New Roman"/>
                <w:b/>
                <w:bCs/>
                <w:color w:val="333333"/>
                <w:sz w:val="28"/>
                <w:szCs w:val="28"/>
                <w:lang w:val="vi-VN"/>
              </w:rPr>
              <w:t>CỘNG HÒA XÃ HỘI CHỦ NGHĨA VIỆT NAM</w:t>
            </w:r>
            <w:r w:rsidRPr="00DA2D7E">
              <w:rPr>
                <w:rFonts w:ascii="Times New Roman" w:eastAsia="Times New Roman" w:hAnsi="Times New Roman" w:cs="Times New Roman"/>
                <w:b/>
                <w:bCs/>
                <w:color w:val="333333"/>
                <w:sz w:val="28"/>
                <w:szCs w:val="28"/>
                <w:lang w:val="vi-VN"/>
              </w:rPr>
              <w:br/>
              <w:t>Độc lập - Tự do - Hạnh phúc </w:t>
            </w:r>
            <w:r w:rsidRPr="00DA2D7E">
              <w:rPr>
                <w:rFonts w:ascii="Times New Roman" w:eastAsia="Times New Roman" w:hAnsi="Times New Roman" w:cs="Times New Roman"/>
                <w:b/>
                <w:bCs/>
                <w:color w:val="333333"/>
                <w:sz w:val="28"/>
                <w:szCs w:val="28"/>
                <w:lang w:val="vi-VN"/>
              </w:rPr>
              <w:br/>
              <w:t>---------------</w:t>
            </w:r>
          </w:p>
        </w:tc>
      </w:tr>
      <w:tr w:rsidR="00DA2D7E" w:rsidRPr="00DA2D7E" w:rsidTr="00DA2D7E">
        <w:tc>
          <w:tcPr>
            <w:tcW w:w="3348" w:type="dxa"/>
            <w:shd w:val="clear" w:color="auto" w:fill="FFFFFF"/>
            <w:tcMar>
              <w:top w:w="0" w:type="dxa"/>
              <w:left w:w="108" w:type="dxa"/>
              <w:bottom w:w="0" w:type="dxa"/>
              <w:right w:w="108" w:type="dxa"/>
            </w:tcMar>
            <w:hideMark/>
          </w:tcPr>
          <w:p w:rsidR="00DA2D7E" w:rsidRPr="00DA2D7E" w:rsidRDefault="00DA2D7E" w:rsidP="00DA2D7E">
            <w:pPr>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Số: </w:t>
            </w:r>
            <w:r w:rsidRPr="00DA2D7E">
              <w:rPr>
                <w:rFonts w:ascii="Times New Roman" w:eastAsia="Times New Roman" w:hAnsi="Times New Roman" w:cs="Times New Roman"/>
                <w:color w:val="333333"/>
                <w:sz w:val="28"/>
                <w:szCs w:val="28"/>
              </w:rPr>
              <w:t>26</w:t>
            </w:r>
            <w:r w:rsidRPr="00DA2D7E">
              <w:rPr>
                <w:rFonts w:ascii="Times New Roman" w:eastAsia="Times New Roman" w:hAnsi="Times New Roman" w:cs="Times New Roman"/>
                <w:color w:val="333333"/>
                <w:sz w:val="28"/>
                <w:szCs w:val="28"/>
                <w:lang w:val="vi-VN"/>
              </w:rPr>
              <w:t>/TANDTC-TCCB</w:t>
            </w:r>
            <w:r w:rsidRPr="00DA2D7E">
              <w:rPr>
                <w:rFonts w:ascii="Times New Roman" w:eastAsia="Times New Roman" w:hAnsi="Times New Roman" w:cs="Times New Roman"/>
                <w:color w:val="333333"/>
                <w:sz w:val="28"/>
                <w:szCs w:val="28"/>
              </w:rPr>
              <w:br/>
            </w:r>
            <w:r w:rsidRPr="00DA2D7E">
              <w:rPr>
                <w:rFonts w:ascii="Times New Roman" w:eastAsia="Times New Roman" w:hAnsi="Times New Roman" w:cs="Times New Roman"/>
                <w:i/>
                <w:iCs/>
                <w:color w:val="333333"/>
                <w:sz w:val="28"/>
                <w:szCs w:val="28"/>
                <w:lang w:val="vi-VN"/>
              </w:rPr>
              <w:t>V/v góp ý phương án tổ chức tòa chuyên trách</w:t>
            </w:r>
          </w:p>
        </w:tc>
        <w:tc>
          <w:tcPr>
            <w:tcW w:w="5508" w:type="dxa"/>
            <w:shd w:val="clear" w:color="auto" w:fill="FFFFFF"/>
            <w:tcMar>
              <w:top w:w="0" w:type="dxa"/>
              <w:left w:w="108" w:type="dxa"/>
              <w:bottom w:w="0" w:type="dxa"/>
              <w:right w:w="108" w:type="dxa"/>
            </w:tcMar>
            <w:hideMark/>
          </w:tcPr>
          <w:p w:rsidR="00DA2D7E" w:rsidRPr="00DA2D7E" w:rsidRDefault="00DA2D7E" w:rsidP="00DA2D7E">
            <w:pPr>
              <w:spacing w:before="120" w:after="100" w:line="240" w:lineRule="auto"/>
              <w:jc w:val="right"/>
              <w:rPr>
                <w:rFonts w:ascii="Times New Roman" w:eastAsia="Times New Roman" w:hAnsi="Times New Roman" w:cs="Times New Roman"/>
                <w:color w:val="333333"/>
                <w:sz w:val="28"/>
                <w:szCs w:val="28"/>
              </w:rPr>
            </w:pPr>
            <w:proofErr w:type="spellStart"/>
            <w:r w:rsidRPr="00DA2D7E">
              <w:rPr>
                <w:rFonts w:ascii="Times New Roman" w:eastAsia="Times New Roman" w:hAnsi="Times New Roman" w:cs="Times New Roman"/>
                <w:i/>
                <w:iCs/>
                <w:color w:val="333333"/>
                <w:sz w:val="28"/>
                <w:szCs w:val="28"/>
              </w:rPr>
              <w:t>Hà</w:t>
            </w:r>
            <w:proofErr w:type="spellEnd"/>
            <w:r w:rsidRPr="00DA2D7E">
              <w:rPr>
                <w:rFonts w:ascii="Times New Roman" w:eastAsia="Times New Roman" w:hAnsi="Times New Roman" w:cs="Times New Roman"/>
                <w:i/>
                <w:iCs/>
                <w:color w:val="333333"/>
                <w:sz w:val="28"/>
                <w:szCs w:val="28"/>
              </w:rPr>
              <w:t xml:space="preserve"> </w:t>
            </w:r>
            <w:proofErr w:type="spellStart"/>
            <w:r w:rsidRPr="00DA2D7E">
              <w:rPr>
                <w:rFonts w:ascii="Times New Roman" w:eastAsia="Times New Roman" w:hAnsi="Times New Roman" w:cs="Times New Roman"/>
                <w:i/>
                <w:iCs/>
                <w:color w:val="333333"/>
                <w:sz w:val="28"/>
                <w:szCs w:val="28"/>
              </w:rPr>
              <w:t>Nội</w:t>
            </w:r>
            <w:proofErr w:type="spellEnd"/>
            <w:r w:rsidRPr="00DA2D7E">
              <w:rPr>
                <w:rFonts w:ascii="Times New Roman" w:eastAsia="Times New Roman" w:hAnsi="Times New Roman" w:cs="Times New Roman"/>
                <w:i/>
                <w:iCs/>
                <w:color w:val="333333"/>
                <w:sz w:val="28"/>
                <w:szCs w:val="28"/>
                <w:lang w:val="vi-VN"/>
              </w:rPr>
              <w:t>, ngày </w:t>
            </w:r>
            <w:r w:rsidRPr="00DA2D7E">
              <w:rPr>
                <w:rFonts w:ascii="Times New Roman" w:eastAsia="Times New Roman" w:hAnsi="Times New Roman" w:cs="Times New Roman"/>
                <w:i/>
                <w:iCs/>
                <w:color w:val="333333"/>
                <w:sz w:val="28"/>
                <w:szCs w:val="28"/>
              </w:rPr>
              <w:t>15</w:t>
            </w:r>
            <w:r w:rsidRPr="00DA2D7E">
              <w:rPr>
                <w:rFonts w:ascii="Times New Roman" w:eastAsia="Times New Roman" w:hAnsi="Times New Roman" w:cs="Times New Roman"/>
                <w:i/>
                <w:iCs/>
                <w:color w:val="333333"/>
                <w:sz w:val="28"/>
                <w:szCs w:val="28"/>
                <w:lang w:val="vi-VN"/>
              </w:rPr>
              <w:t> tháng </w:t>
            </w:r>
            <w:r w:rsidRPr="00DA2D7E">
              <w:rPr>
                <w:rFonts w:ascii="Times New Roman" w:eastAsia="Times New Roman" w:hAnsi="Times New Roman" w:cs="Times New Roman"/>
                <w:i/>
                <w:iCs/>
                <w:color w:val="333333"/>
                <w:sz w:val="28"/>
                <w:szCs w:val="28"/>
              </w:rPr>
              <w:t>01</w:t>
            </w:r>
            <w:r w:rsidRPr="00DA2D7E">
              <w:rPr>
                <w:rFonts w:ascii="Times New Roman" w:eastAsia="Times New Roman" w:hAnsi="Times New Roman" w:cs="Times New Roman"/>
                <w:i/>
                <w:iCs/>
                <w:color w:val="333333"/>
                <w:sz w:val="28"/>
                <w:szCs w:val="28"/>
                <w:lang w:val="vi-VN"/>
              </w:rPr>
              <w:t> năm </w:t>
            </w:r>
            <w:r w:rsidRPr="00DA2D7E">
              <w:rPr>
                <w:rFonts w:ascii="Times New Roman" w:eastAsia="Times New Roman" w:hAnsi="Times New Roman" w:cs="Times New Roman"/>
                <w:i/>
                <w:iCs/>
                <w:color w:val="333333"/>
                <w:sz w:val="28"/>
                <w:szCs w:val="28"/>
              </w:rPr>
              <w:t>2018</w:t>
            </w:r>
          </w:p>
        </w:tc>
      </w:tr>
    </w:tbl>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rPr>
        <w:t> </w:t>
      </w:r>
    </w:p>
    <w:p w:rsidR="00DA2D7E" w:rsidRPr="00DA2D7E" w:rsidRDefault="00DA2D7E" w:rsidP="00DA2D7E">
      <w:pPr>
        <w:shd w:val="clear" w:color="auto" w:fill="FFFFFF"/>
        <w:spacing w:before="120" w:after="100" w:line="240" w:lineRule="auto"/>
        <w:jc w:val="center"/>
        <w:rPr>
          <w:rFonts w:ascii="Times New Roman" w:eastAsia="Times New Roman" w:hAnsi="Times New Roman" w:cs="Times New Roman"/>
          <w:color w:val="333333"/>
          <w:sz w:val="28"/>
          <w:szCs w:val="28"/>
        </w:rPr>
      </w:pPr>
      <w:r w:rsidRPr="00DA2D7E">
        <w:rPr>
          <w:rFonts w:ascii="Times New Roman" w:eastAsia="Times New Roman" w:hAnsi="Times New Roman" w:cs="Times New Roman"/>
          <w:b/>
          <w:bCs/>
          <w:color w:val="333333"/>
          <w:sz w:val="28"/>
          <w:szCs w:val="28"/>
          <w:lang w:val="vi-VN"/>
        </w:rPr>
        <w:t>Kính gửi:</w:t>
      </w:r>
      <w:r w:rsidRPr="00DA2D7E">
        <w:rPr>
          <w:rFonts w:ascii="Times New Roman" w:eastAsia="Times New Roman" w:hAnsi="Times New Roman" w:cs="Times New Roman"/>
          <w:color w:val="333333"/>
          <w:sz w:val="28"/>
          <w:szCs w:val="28"/>
          <w:lang w:val="vi-VN"/>
        </w:rPr>
        <w:t> Chánh án Tòa án nhân dân các tỉnh, thành phố trực thuộc trung ương.</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Căn cứ vào Luật tổ chức Tòa án nhân dân năm 2014; Thông tư số </w:t>
      </w:r>
      <w:hyperlink r:id="rId4" w:tgtFrame="_blank" w:history="1">
        <w:r w:rsidRPr="00DA2D7E">
          <w:rPr>
            <w:rFonts w:ascii="Times New Roman" w:eastAsia="Times New Roman" w:hAnsi="Times New Roman" w:cs="Times New Roman"/>
            <w:color w:val="0492DB"/>
            <w:sz w:val="28"/>
            <w:szCs w:val="28"/>
            <w:lang w:val="vi-VN"/>
          </w:rPr>
          <w:t>01/2016/TT-CA ngày 21/01/2016 </w:t>
        </w:r>
      </w:hyperlink>
      <w:r w:rsidRPr="00DA2D7E">
        <w:rPr>
          <w:rFonts w:ascii="Times New Roman" w:eastAsia="Times New Roman" w:hAnsi="Times New Roman" w:cs="Times New Roman"/>
          <w:color w:val="333333"/>
          <w:sz w:val="28"/>
          <w:szCs w:val="28"/>
          <w:lang w:val="vi-VN"/>
        </w:rPr>
        <w:t>của Chánh án Tòa án nhân dân tối cao quy định về tổ chức các tòa chuyên trách tại Tòa án nhân dân cấp tỉnh, Tòa án nhân dân cấp huyện và căn cứ vào s</w:t>
      </w:r>
      <w:r w:rsidRPr="00DA2D7E">
        <w:rPr>
          <w:rFonts w:ascii="Times New Roman" w:eastAsia="Times New Roman" w:hAnsi="Times New Roman" w:cs="Times New Roman"/>
          <w:color w:val="333333"/>
          <w:sz w:val="28"/>
          <w:szCs w:val="28"/>
        </w:rPr>
        <w:t>ố</w:t>
      </w:r>
      <w:r w:rsidRPr="00DA2D7E">
        <w:rPr>
          <w:rFonts w:ascii="Times New Roman" w:eastAsia="Times New Roman" w:hAnsi="Times New Roman" w:cs="Times New Roman"/>
          <w:color w:val="333333"/>
          <w:sz w:val="28"/>
          <w:szCs w:val="28"/>
          <w:lang w:val="vi-VN"/>
        </w:rPr>
        <w:t> lượng công việc, thực trạng đội ngũ Th</w:t>
      </w:r>
      <w:r w:rsidRPr="00DA2D7E">
        <w:rPr>
          <w:rFonts w:ascii="Times New Roman" w:eastAsia="Times New Roman" w:hAnsi="Times New Roman" w:cs="Times New Roman"/>
          <w:color w:val="333333"/>
          <w:sz w:val="28"/>
          <w:szCs w:val="28"/>
        </w:rPr>
        <w:t>ẩ</w:t>
      </w:r>
      <w:r w:rsidRPr="00DA2D7E">
        <w:rPr>
          <w:rFonts w:ascii="Times New Roman" w:eastAsia="Times New Roman" w:hAnsi="Times New Roman" w:cs="Times New Roman"/>
          <w:color w:val="333333"/>
          <w:sz w:val="28"/>
          <w:szCs w:val="28"/>
          <w:lang w:val="vi-VN"/>
        </w:rPr>
        <w:t>m phán, Thẩm tra viên, Thư ký của các Tòa án nhân dân hiện nay, tại cuộc họp ngày 08/01/2018, Ban cán sự đảng Tòa án nhân dân tối cao dự kiến phương án thành lập Tòa chuyên trách tại các Tòa án nhân dân cấp tỉnh và Tòa án nhân dân cấp huyện như sau:</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1. Tòa án nhân dân cấp tỉnh</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a) Đối với các Tòa án nhân dân cấp tỉnh có từ 11 đến 13 Thẩm phán (kể cả lãnh đạo)</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Được thành lập 03 Tòa chuyên trách, gồm: Tòa hình sự, Tòa dân sự (giải quyết các vụ, việc về dân sự, gia đình và người chưa thành niên), Tòa hành chính (giải quyết các vụ, việc về hành chính, kinh tế, lao động). Các Tòa chuyên trách chỉ có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b) Đối với Tòa án nhân dân cấp tỉnh có từ 14 đến 20 Thẩm phán (kể cả lãnh đạo)</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Được thành lập 04 Tòa chuyên trách, gồm: Tòa hình sự, Tòa dân sự, Tòa gia đình và người chưa thành niên), Tòa hành chính (giải quyết các vụ, việc về hành chính, kinh tế, lao động). Các Tòa chuyên trách chỉ có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c) Đối với Tòa án nhân dân cấp tỉnh còn lại có từ 22 Thẩm phán trở lên (kể cả lãnh đạo)</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Tòa án nhân dân thành phố Hà Nội, Tòa án nhân dân thành phố Hồ Chí Minh, Tòa án nhân dân tỉnh Đồng Nai, Tòa án nhân dân tỉnh Bình Dương: được thành lập đủ 06 Tòa chuyên trách theo quy định của Luật tổ chức Tòa án nhân dân năm 2014. Các Tòa chuyên trách có Chánh tòa và 01 Phó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lastRenderedPageBreak/>
        <w:t>Các Tòa án còn lại được thành lập 05 Tòa chuyên trách, gồm: Tòa hình sự, Tòa dân sự, Tòa gia đình và người chưa thành niên, Tòa hành chính, Tòa kinh tế (giải quyết các vụ, việc về kinh tế, lao động). Các Tòa chuyên trách có Chánh tòa và 01 Phó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2. Tòa án nhân dân cấp huy</w:t>
      </w:r>
      <w:r w:rsidRPr="00DA2D7E">
        <w:rPr>
          <w:rFonts w:ascii="Times New Roman" w:eastAsia="Times New Roman" w:hAnsi="Times New Roman" w:cs="Times New Roman"/>
          <w:color w:val="333333"/>
          <w:sz w:val="28"/>
          <w:szCs w:val="28"/>
        </w:rPr>
        <w:t>ệ</w:t>
      </w:r>
      <w:r w:rsidRPr="00DA2D7E">
        <w:rPr>
          <w:rFonts w:ascii="Times New Roman" w:eastAsia="Times New Roman" w:hAnsi="Times New Roman" w:cs="Times New Roman"/>
          <w:color w:val="333333"/>
          <w:sz w:val="28"/>
          <w:szCs w:val="28"/>
          <w:lang w:val="vi-VN"/>
        </w:rPr>
        <w:t>n</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a) Đối với Tòa án nhân dân quận, huyện, thị xã, thành phố thuộc tỉnh có s</w:t>
      </w:r>
      <w:r w:rsidRPr="00DA2D7E">
        <w:rPr>
          <w:rFonts w:ascii="Times New Roman" w:eastAsia="Times New Roman" w:hAnsi="Times New Roman" w:cs="Times New Roman"/>
          <w:color w:val="333333"/>
          <w:sz w:val="28"/>
          <w:szCs w:val="28"/>
        </w:rPr>
        <w:t>ố</w:t>
      </w:r>
      <w:r w:rsidRPr="00DA2D7E">
        <w:rPr>
          <w:rFonts w:ascii="Times New Roman" w:eastAsia="Times New Roman" w:hAnsi="Times New Roman" w:cs="Times New Roman"/>
          <w:color w:val="333333"/>
          <w:sz w:val="28"/>
          <w:szCs w:val="28"/>
          <w:lang w:val="vi-VN"/>
        </w:rPr>
        <w:t> lượng các loại vụ, việc phải giải quyết trên 2.000 vụ, việc/năm trở lên, được tổ chức 04 tòa chuyên trách, gồm: Tòa hình sự, Tòa dân sự, Tòa gia đình và người chưa thành niên, Tòa hành chính (giải quyết các vụ, việc về hành chính, kinh tế, lao động). Các Tòa chuyên trách có Chánh tòa và 01 Phó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b) Đối với Tòa án nhân dân quận, huyện, thị xã, thành phố thuộc tỉnh có số lượng các loại vụ, việc phải giải quyết trên 1.000 vụ, việc đến dưới 2.000 vụ, việc/năm, được tổ chức 03 tòa chuyên trách, gồm: Tòa hình sự, Tòa dân sự, Tòa gia đình và người chưa thành niên. Các Tòa chuyên trách có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c) Đối với Tòa án nhân dân quận, huyện, thị xã, thành phố thuộc tỉnh có số lượng các loại vụ, việc phải giải quyết trên 700 vụ, việc đ</w:t>
      </w:r>
      <w:r w:rsidRPr="00DA2D7E">
        <w:rPr>
          <w:rFonts w:ascii="Times New Roman" w:eastAsia="Times New Roman" w:hAnsi="Times New Roman" w:cs="Times New Roman"/>
          <w:color w:val="333333"/>
          <w:sz w:val="28"/>
          <w:szCs w:val="28"/>
        </w:rPr>
        <w:t>ế</w:t>
      </w:r>
      <w:r w:rsidRPr="00DA2D7E">
        <w:rPr>
          <w:rFonts w:ascii="Times New Roman" w:eastAsia="Times New Roman" w:hAnsi="Times New Roman" w:cs="Times New Roman"/>
          <w:color w:val="333333"/>
          <w:sz w:val="28"/>
          <w:szCs w:val="28"/>
          <w:lang w:val="vi-VN"/>
        </w:rPr>
        <w:t>n dưới 1.000 vụ, việc/năm, được tổ chức 02 tòa chuyên trách, gồm: Tòa hình sự, Tòa dân sự. Các Tòa chuyên trách có Chánh tòa.</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d) Đối với các Tòa án có số lượng các loại vụ, việc phải giải quyết dưới 700 vụ, việc/năm thì không tổ chức Tòa chuyên trách.</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Căn cứ vào phương án tổ chức Tòa chuyên trách này, đề nghị Chánh án Tòa án nhân dân các tỉnh, thành phố trực thuộc trung ương, khẩn trương thực hiện các công việc sau:</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(1) Nghiên cứu và có ý kiến cụ thể đối với phương án trên (đồng ý hoặc có ý kiến khác).</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(2) Căn cứ vào phương án nêu trên và số lượng công việc, thực trạng đội ngũ Thẩm phán, Thẩm tra viên, Thư ký Tòa án của đơn vị; rà soát và đề xuất về mô hình tòa chuyên trách của đơn vị mình. Trong đó, ngoài số lượng án thì mỗi tòa chuyên trách phải có ít nhất 3 Thẩm phán và 3 Thẩm tra viên, Thư ký Tòa án.</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Ý kiến đề xuất được gửi đến hòm thư điện tử thutranghanoi@gmail.com, đồng thời gửi văn bản đến Tòa án nhân dân tối cao (qua Vụ Tổ chức - Cán bộ) trước ngày 25/01/2018 để tổng hợp, trình Chánh án Tòa án nhân dân tối cao quyết định.</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Lưu ý:</w:t>
      </w: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t>- Khi thực hiện việc sắp xếp lại theo phương án trên, các trường hợp không còn được giữ chức vụ Chánh tòa, Phó Chánh tòa sẽ được bảo lưu phụ cấp chức vụ theo quy định.</w:t>
      </w:r>
    </w:p>
    <w:p w:rsid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lang w:val="vi-VN"/>
        </w:rPr>
        <w:lastRenderedPageBreak/>
        <w:t>- Số lượng vụ, việc giải quyết trên năm được tính bằng trung bình cộng của 3 năm liên tiếp (2015, 2016 và 2017)./.</w:t>
      </w:r>
    </w:p>
    <w:tbl>
      <w:tblPr>
        <w:tblW w:w="0" w:type="auto"/>
        <w:shd w:val="clear" w:color="auto" w:fill="FFFFFF"/>
        <w:tblCellMar>
          <w:left w:w="0" w:type="dxa"/>
          <w:right w:w="0" w:type="dxa"/>
        </w:tblCellMar>
        <w:tblLook w:val="04A0"/>
      </w:tblPr>
      <w:tblGrid>
        <w:gridCol w:w="4428"/>
        <w:gridCol w:w="4428"/>
      </w:tblGrid>
      <w:tr w:rsidR="00D85A01" w:rsidRPr="00D85A01" w:rsidTr="00D85A01">
        <w:tc>
          <w:tcPr>
            <w:tcW w:w="4428" w:type="dxa"/>
            <w:shd w:val="clear" w:color="auto" w:fill="FFFFFF"/>
            <w:tcMar>
              <w:top w:w="0" w:type="dxa"/>
              <w:left w:w="108" w:type="dxa"/>
              <w:bottom w:w="0" w:type="dxa"/>
              <w:right w:w="108" w:type="dxa"/>
            </w:tcMar>
            <w:hideMark/>
          </w:tcPr>
          <w:p w:rsidR="00D85A01" w:rsidRPr="00D85A01" w:rsidRDefault="00D85A01" w:rsidP="00D85A01">
            <w:pPr>
              <w:spacing w:before="120" w:after="100" w:line="240" w:lineRule="auto"/>
              <w:rPr>
                <w:rFonts w:ascii="Arial" w:eastAsia="Times New Roman" w:hAnsi="Arial" w:cs="Arial"/>
                <w:color w:val="333333"/>
                <w:sz w:val="14"/>
                <w:szCs w:val="14"/>
              </w:rPr>
            </w:pPr>
            <w:r w:rsidRPr="00D85A01">
              <w:rPr>
                <w:rFonts w:ascii="Arial" w:eastAsia="Times New Roman" w:hAnsi="Arial" w:cs="Arial"/>
                <w:color w:val="333333"/>
                <w:sz w:val="20"/>
                <w:szCs w:val="20"/>
                <w:lang w:val="vi-VN"/>
              </w:rPr>
              <w:br/>
            </w:r>
            <w:r w:rsidRPr="00D85A01">
              <w:rPr>
                <w:rFonts w:ascii="Arial" w:eastAsia="Times New Roman" w:hAnsi="Arial" w:cs="Arial"/>
                <w:b/>
                <w:bCs/>
                <w:i/>
                <w:iCs/>
                <w:color w:val="333333"/>
                <w:sz w:val="20"/>
                <w:szCs w:val="20"/>
                <w:lang w:val="vi-VN"/>
              </w:rPr>
              <w:t>Nơi nhận:</w:t>
            </w:r>
            <w:r w:rsidRPr="00D85A01">
              <w:rPr>
                <w:rFonts w:ascii="Arial" w:eastAsia="Times New Roman" w:hAnsi="Arial" w:cs="Arial"/>
                <w:b/>
                <w:bCs/>
                <w:i/>
                <w:iCs/>
                <w:color w:val="333333"/>
                <w:sz w:val="20"/>
                <w:szCs w:val="20"/>
                <w:lang w:val="vi-VN"/>
              </w:rPr>
              <w:br/>
            </w:r>
            <w:r w:rsidRPr="00D85A01">
              <w:rPr>
                <w:rFonts w:ascii="Arial" w:eastAsia="Times New Roman" w:hAnsi="Arial" w:cs="Arial"/>
                <w:color w:val="333333"/>
                <w:sz w:val="16"/>
                <w:szCs w:val="16"/>
                <w:lang w:val="vi-VN"/>
              </w:rPr>
              <w:t>- Như kính gửi;</w:t>
            </w:r>
            <w:r w:rsidRPr="00D85A01">
              <w:rPr>
                <w:rFonts w:ascii="Arial" w:eastAsia="Times New Roman" w:hAnsi="Arial" w:cs="Arial"/>
                <w:color w:val="333333"/>
                <w:sz w:val="16"/>
                <w:szCs w:val="16"/>
                <w:lang w:val="vi-VN"/>
              </w:rPr>
              <w:br/>
              <w:t>- Chánh án TANDTC (để b/c);</w:t>
            </w:r>
            <w:r w:rsidRPr="00D85A01">
              <w:rPr>
                <w:rFonts w:ascii="Arial" w:eastAsia="Times New Roman" w:hAnsi="Arial" w:cs="Arial"/>
                <w:color w:val="333333"/>
                <w:sz w:val="16"/>
                <w:szCs w:val="16"/>
                <w:lang w:val="vi-VN"/>
              </w:rPr>
              <w:br/>
              <w:t>- Đ/c Vụ trưởng (để b/c);</w:t>
            </w:r>
            <w:r w:rsidRPr="00D85A01">
              <w:rPr>
                <w:rFonts w:ascii="Arial" w:eastAsia="Times New Roman" w:hAnsi="Arial" w:cs="Arial"/>
                <w:color w:val="333333"/>
                <w:sz w:val="16"/>
                <w:szCs w:val="16"/>
                <w:lang w:val="vi-VN"/>
              </w:rPr>
              <w:br/>
              <w:t>- Cổng thông tin điện tử (để đăng tin);</w:t>
            </w:r>
            <w:r w:rsidRPr="00D85A01">
              <w:rPr>
                <w:rFonts w:ascii="Arial" w:eastAsia="Times New Roman" w:hAnsi="Arial" w:cs="Arial"/>
                <w:color w:val="333333"/>
                <w:sz w:val="16"/>
                <w:szCs w:val="16"/>
                <w:lang w:val="vi-VN"/>
              </w:rPr>
              <w:br/>
              <w:t>- Lưu: Vụ TCCB (TH).</w:t>
            </w:r>
          </w:p>
        </w:tc>
        <w:tc>
          <w:tcPr>
            <w:tcW w:w="4428" w:type="dxa"/>
            <w:shd w:val="clear" w:color="auto" w:fill="FFFFFF"/>
            <w:tcMar>
              <w:top w:w="0" w:type="dxa"/>
              <w:left w:w="108" w:type="dxa"/>
              <w:bottom w:w="0" w:type="dxa"/>
              <w:right w:w="108" w:type="dxa"/>
            </w:tcMar>
            <w:hideMark/>
          </w:tcPr>
          <w:p w:rsidR="00D85A01" w:rsidRPr="00D85A01" w:rsidRDefault="00D85A01" w:rsidP="00D85A01">
            <w:pPr>
              <w:spacing w:before="120" w:after="100" w:line="240" w:lineRule="auto"/>
              <w:jc w:val="center"/>
              <w:rPr>
                <w:rFonts w:ascii="Arial" w:eastAsia="Times New Roman" w:hAnsi="Arial" w:cs="Arial"/>
                <w:color w:val="333333"/>
                <w:sz w:val="14"/>
                <w:szCs w:val="14"/>
              </w:rPr>
            </w:pPr>
            <w:r w:rsidRPr="00D85A01">
              <w:rPr>
                <w:rFonts w:ascii="Arial" w:eastAsia="Times New Roman" w:hAnsi="Arial" w:cs="Arial"/>
                <w:b/>
                <w:bCs/>
                <w:color w:val="333333"/>
                <w:sz w:val="20"/>
                <w:szCs w:val="20"/>
                <w:lang w:val="vi-VN"/>
              </w:rPr>
              <w:t>TL. CHÁNH ÁN</w:t>
            </w:r>
            <w:r w:rsidRPr="00D85A01">
              <w:rPr>
                <w:rFonts w:ascii="Arial" w:eastAsia="Times New Roman" w:hAnsi="Arial" w:cs="Arial"/>
                <w:b/>
                <w:bCs/>
                <w:color w:val="333333"/>
                <w:sz w:val="20"/>
                <w:szCs w:val="20"/>
                <w:lang w:val="vi-VN"/>
              </w:rPr>
              <w:br/>
              <w:t>KT. VỤ TRƯỞNG VỤ TỔ CHỨC CÁN BỘ</w:t>
            </w:r>
            <w:r w:rsidRPr="00D85A01">
              <w:rPr>
                <w:rFonts w:ascii="Arial" w:eastAsia="Times New Roman" w:hAnsi="Arial" w:cs="Arial"/>
                <w:b/>
                <w:bCs/>
                <w:color w:val="333333"/>
                <w:sz w:val="20"/>
                <w:szCs w:val="20"/>
              </w:rPr>
              <w:br/>
              <w:t>PHÓ </w:t>
            </w:r>
            <w:r w:rsidRPr="00D85A01">
              <w:rPr>
                <w:rFonts w:ascii="Arial" w:eastAsia="Times New Roman" w:hAnsi="Arial" w:cs="Arial"/>
                <w:b/>
                <w:bCs/>
                <w:color w:val="333333"/>
                <w:sz w:val="20"/>
                <w:szCs w:val="20"/>
                <w:lang w:val="vi-VN"/>
              </w:rPr>
              <w:t>VỤ TRƯỞNG</w:t>
            </w:r>
            <w:r w:rsidRPr="00D85A01">
              <w:rPr>
                <w:rFonts w:ascii="Arial" w:eastAsia="Times New Roman" w:hAnsi="Arial" w:cs="Arial"/>
                <w:b/>
                <w:bCs/>
                <w:color w:val="333333"/>
                <w:sz w:val="20"/>
                <w:szCs w:val="20"/>
              </w:rPr>
              <w:br/>
            </w:r>
            <w:r w:rsidRPr="00D85A01">
              <w:rPr>
                <w:rFonts w:ascii="Arial" w:eastAsia="Times New Roman" w:hAnsi="Arial" w:cs="Arial"/>
                <w:b/>
                <w:bCs/>
                <w:color w:val="333333"/>
                <w:sz w:val="20"/>
                <w:szCs w:val="20"/>
              </w:rPr>
              <w:br/>
            </w:r>
            <w:r w:rsidRPr="00D85A01">
              <w:rPr>
                <w:rFonts w:ascii="Arial" w:eastAsia="Times New Roman" w:hAnsi="Arial" w:cs="Arial"/>
                <w:b/>
                <w:bCs/>
                <w:color w:val="333333"/>
                <w:sz w:val="20"/>
                <w:szCs w:val="20"/>
              </w:rPr>
              <w:br/>
            </w:r>
            <w:r w:rsidRPr="00D85A01">
              <w:rPr>
                <w:rFonts w:ascii="Arial" w:eastAsia="Times New Roman" w:hAnsi="Arial" w:cs="Arial"/>
                <w:b/>
                <w:bCs/>
                <w:color w:val="333333"/>
                <w:sz w:val="20"/>
                <w:szCs w:val="20"/>
              </w:rPr>
              <w:br/>
            </w:r>
            <w:r w:rsidRPr="00D85A01">
              <w:rPr>
                <w:rFonts w:ascii="Arial" w:eastAsia="Times New Roman" w:hAnsi="Arial" w:cs="Arial"/>
                <w:b/>
                <w:bCs/>
                <w:color w:val="333333"/>
                <w:sz w:val="20"/>
                <w:szCs w:val="20"/>
              </w:rPr>
              <w:br/>
            </w:r>
            <w:proofErr w:type="spellStart"/>
            <w:r w:rsidRPr="00D85A01">
              <w:rPr>
                <w:rFonts w:ascii="Arial" w:eastAsia="Times New Roman" w:hAnsi="Arial" w:cs="Arial"/>
                <w:b/>
                <w:bCs/>
                <w:color w:val="333333"/>
                <w:sz w:val="20"/>
                <w:szCs w:val="20"/>
              </w:rPr>
              <w:t>Nguyễn</w:t>
            </w:r>
            <w:proofErr w:type="spellEnd"/>
            <w:r w:rsidRPr="00D85A01">
              <w:rPr>
                <w:rFonts w:ascii="Arial" w:eastAsia="Times New Roman" w:hAnsi="Arial" w:cs="Arial"/>
                <w:b/>
                <w:bCs/>
                <w:color w:val="333333"/>
                <w:sz w:val="20"/>
                <w:szCs w:val="20"/>
              </w:rPr>
              <w:t xml:space="preserve"> </w:t>
            </w:r>
            <w:proofErr w:type="spellStart"/>
            <w:r w:rsidRPr="00D85A01">
              <w:rPr>
                <w:rFonts w:ascii="Arial" w:eastAsia="Times New Roman" w:hAnsi="Arial" w:cs="Arial"/>
                <w:b/>
                <w:bCs/>
                <w:color w:val="333333"/>
                <w:sz w:val="20"/>
                <w:szCs w:val="20"/>
              </w:rPr>
              <w:t>Tường</w:t>
            </w:r>
            <w:proofErr w:type="spellEnd"/>
            <w:r w:rsidRPr="00D85A01">
              <w:rPr>
                <w:rFonts w:ascii="Arial" w:eastAsia="Times New Roman" w:hAnsi="Arial" w:cs="Arial"/>
                <w:b/>
                <w:bCs/>
                <w:color w:val="333333"/>
                <w:sz w:val="20"/>
                <w:szCs w:val="20"/>
              </w:rPr>
              <w:t xml:space="preserve"> </w:t>
            </w:r>
            <w:proofErr w:type="spellStart"/>
            <w:r w:rsidRPr="00D85A01">
              <w:rPr>
                <w:rFonts w:ascii="Arial" w:eastAsia="Times New Roman" w:hAnsi="Arial" w:cs="Arial"/>
                <w:b/>
                <w:bCs/>
                <w:color w:val="333333"/>
                <w:sz w:val="20"/>
                <w:szCs w:val="20"/>
              </w:rPr>
              <w:t>Linh</w:t>
            </w:r>
            <w:proofErr w:type="spellEnd"/>
          </w:p>
        </w:tc>
      </w:tr>
    </w:tbl>
    <w:p w:rsidR="00D85A01" w:rsidRPr="00D85A01" w:rsidRDefault="00D85A01" w:rsidP="00DA2D7E">
      <w:pPr>
        <w:shd w:val="clear" w:color="auto" w:fill="FFFFFF"/>
        <w:spacing w:before="120" w:after="100" w:line="240" w:lineRule="auto"/>
        <w:rPr>
          <w:rFonts w:ascii="Times New Roman" w:eastAsia="Times New Roman" w:hAnsi="Times New Roman" w:cs="Times New Roman"/>
          <w:color w:val="333333"/>
          <w:sz w:val="28"/>
          <w:szCs w:val="28"/>
        </w:rPr>
      </w:pPr>
    </w:p>
    <w:p w:rsidR="00DA2D7E" w:rsidRPr="00DA2D7E" w:rsidRDefault="00DA2D7E" w:rsidP="00DA2D7E">
      <w:pPr>
        <w:shd w:val="clear" w:color="auto" w:fill="FFFFFF"/>
        <w:spacing w:before="120" w:after="100" w:line="240" w:lineRule="auto"/>
        <w:rPr>
          <w:rFonts w:ascii="Times New Roman" w:eastAsia="Times New Roman" w:hAnsi="Times New Roman" w:cs="Times New Roman"/>
          <w:color w:val="333333"/>
          <w:sz w:val="28"/>
          <w:szCs w:val="28"/>
        </w:rPr>
      </w:pPr>
      <w:r w:rsidRPr="00DA2D7E">
        <w:rPr>
          <w:rFonts w:ascii="Times New Roman" w:eastAsia="Times New Roman" w:hAnsi="Times New Roman" w:cs="Times New Roman"/>
          <w:color w:val="333333"/>
          <w:sz w:val="28"/>
          <w:szCs w:val="28"/>
        </w:rPr>
        <w:t> </w:t>
      </w:r>
    </w:p>
    <w:p w:rsidR="00835E8C" w:rsidRPr="00DA2D7E" w:rsidRDefault="00835E8C">
      <w:pPr>
        <w:rPr>
          <w:rFonts w:ascii="Times New Roman" w:hAnsi="Times New Roman" w:cs="Times New Roman"/>
          <w:sz w:val="28"/>
          <w:szCs w:val="28"/>
        </w:rPr>
      </w:pPr>
    </w:p>
    <w:sectPr w:rsidR="00835E8C" w:rsidRPr="00DA2D7E" w:rsidSect="00835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A2D7E"/>
    <w:rsid w:val="00835E8C"/>
    <w:rsid w:val="009A2746"/>
    <w:rsid w:val="00D85A01"/>
    <w:rsid w:val="00DA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2D7E"/>
    <w:rPr>
      <w:color w:val="0000FF"/>
      <w:u w:val="single"/>
    </w:rPr>
  </w:style>
</w:styles>
</file>

<file path=word/webSettings.xml><?xml version="1.0" encoding="utf-8"?>
<w:webSettings xmlns:r="http://schemas.openxmlformats.org/officeDocument/2006/relationships" xmlns:w="http://schemas.openxmlformats.org/wordprocessingml/2006/main">
  <w:divs>
    <w:div w:id="51970680">
      <w:bodyDiv w:val="1"/>
      <w:marLeft w:val="0"/>
      <w:marRight w:val="0"/>
      <w:marTop w:val="0"/>
      <w:marBottom w:val="0"/>
      <w:divBdr>
        <w:top w:val="none" w:sz="0" w:space="0" w:color="auto"/>
        <w:left w:val="none" w:sz="0" w:space="0" w:color="auto"/>
        <w:bottom w:val="none" w:sz="0" w:space="0" w:color="auto"/>
        <w:right w:val="none" w:sz="0" w:space="0" w:color="auto"/>
      </w:divBdr>
    </w:div>
    <w:div w:id="778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tim-kiem/?keyword=01/2016/TT-CA&amp;match=True&amp;area=2&amp;lan=1&amp;bday=21/01/2016&amp;eday=21/0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2</cp:revision>
  <dcterms:created xsi:type="dcterms:W3CDTF">2018-01-17T03:39:00Z</dcterms:created>
  <dcterms:modified xsi:type="dcterms:W3CDTF">2018-01-17T03:42:00Z</dcterms:modified>
</cp:coreProperties>
</file>